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5BA6" w:rsidRDefault="005D2E78" w:rsidP="005D2E7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D2E78">
        <w:rPr>
          <w:rFonts w:ascii="Times New Roman" w:hAnsi="Times New Roman" w:cs="Times New Roman"/>
          <w:b/>
          <w:bCs/>
          <w:sz w:val="28"/>
          <w:szCs w:val="28"/>
        </w:rPr>
        <w:t xml:space="preserve">Лекуция 6. </w:t>
      </w:r>
      <w:r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5D2E78">
        <w:rPr>
          <w:rFonts w:ascii="Times New Roman" w:hAnsi="Times New Roman" w:cs="Times New Roman"/>
          <w:b/>
          <w:bCs/>
          <w:sz w:val="28"/>
          <w:szCs w:val="28"/>
        </w:rPr>
        <w:t xml:space="preserve">стория геологического изучения территории </w:t>
      </w:r>
      <w:r>
        <w:rPr>
          <w:rFonts w:ascii="Times New Roman" w:hAnsi="Times New Roman" w:cs="Times New Roman"/>
          <w:b/>
          <w:bCs/>
          <w:sz w:val="28"/>
          <w:szCs w:val="28"/>
        </w:rPr>
        <w:t>и м</w:t>
      </w:r>
      <w:r w:rsidRPr="005D2E78">
        <w:rPr>
          <w:rFonts w:ascii="Times New Roman" w:hAnsi="Times New Roman" w:cs="Times New Roman"/>
          <w:b/>
          <w:bCs/>
          <w:sz w:val="28"/>
          <w:szCs w:val="28"/>
        </w:rPr>
        <w:t>инерально-сырьевая база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D2E78">
        <w:rPr>
          <w:rFonts w:ascii="Times New Roman" w:hAnsi="Times New Roman" w:cs="Times New Roman"/>
          <w:b/>
          <w:bCs/>
          <w:sz w:val="28"/>
          <w:szCs w:val="28"/>
        </w:rPr>
        <w:t>Забайкальского края</w:t>
      </w:r>
    </w:p>
    <w:p w:rsidR="00252841" w:rsidRDefault="00252841" w:rsidP="005D2E7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52841" w:rsidRDefault="00252841" w:rsidP="005D2E7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52841" w:rsidRPr="00252841" w:rsidRDefault="00252841" w:rsidP="005D2E78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6.2 </w:t>
      </w:r>
      <w:r w:rsidRPr="00252841">
        <w:rPr>
          <w:rFonts w:ascii="Times New Roman" w:hAnsi="Times New Roman" w:cs="Times New Roman"/>
          <w:bCs/>
          <w:sz w:val="28"/>
          <w:szCs w:val="28"/>
        </w:rPr>
        <w:t>История геологического изучения территории</w:t>
      </w:r>
    </w:p>
    <w:p w:rsidR="005D2E78" w:rsidRDefault="005D2E78" w:rsidP="005D2E78">
      <w:pPr>
        <w:pStyle w:val="ae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О том, что в Забайкалье есть серебросвинцовые руды, казаки-первопроходцы узнали от местных жителей бурятов, эвенков, которые в 1676 г. показали казакам, посланным нерчинским приказчиком Петром Шульгиным старые заброшенные рудокопные ямы и плавильни .  Это явилось отправной точкой открытия Аргунского рудного поля и месторождения в горе Култук (Крестовая) у речек Алтача и Мунгуча.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В этом же году 1676 г. были получены первый свинец и серебро. Указ Петра </w:t>
      </w:r>
      <w:r w:rsidRPr="005D2E78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D2E78">
        <w:rPr>
          <w:rFonts w:ascii="Times New Roman" w:hAnsi="Times New Roman" w:cs="Times New Roman"/>
          <w:sz w:val="28"/>
          <w:szCs w:val="28"/>
        </w:rPr>
        <w:t xml:space="preserve"> по организации «Приказа рудокопных дел» от 19 августа 1700 г. способствовал резкой активизации развития горнорудной промышленности в Нерчинском горном округе (</w:t>
      </w:r>
      <w:r w:rsidRPr="005D2E78">
        <w:rPr>
          <w:rFonts w:ascii="Times New Roman" w:hAnsi="Times New Roman" w:cs="Times New Roman"/>
          <w:i/>
          <w:sz w:val="28"/>
          <w:szCs w:val="28"/>
        </w:rPr>
        <w:t>Рис.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5D2E78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>1</w:t>
      </w:r>
      <w:r w:rsidRPr="005D2E78">
        <w:rPr>
          <w:rFonts w:ascii="Times New Roman" w:hAnsi="Times New Roman" w:cs="Times New Roman"/>
          <w:sz w:val="28"/>
          <w:szCs w:val="28"/>
        </w:rPr>
        <w:t xml:space="preserve">).  В 1698 г. был построен Аргунский сереброплавильный завод, которыйв 1704 г. переведен в г. Нерчинск и явился основой цветной металлургии Забайкалья [14]. 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05910" cy="2122170"/>
            <wp:effectExtent l="19050" t="0" r="8890" b="0"/>
            <wp:docPr id="3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10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5D2E78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>1</w:t>
      </w:r>
      <w:r w:rsidRPr="005D2E78">
        <w:rPr>
          <w:rFonts w:ascii="Times New Roman" w:hAnsi="Times New Roman" w:cs="Times New Roman"/>
          <w:sz w:val="28"/>
          <w:szCs w:val="28"/>
        </w:rPr>
        <w:t xml:space="preserve">.  Сереброплавильные заводы Нерчинского горного округа. 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1. Нерчинский (Аргунский), 2. Дучарский, 3. Кутомарский,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4. Екатерининский, 5. Шилкинский, 6. Газимурский, 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lastRenderedPageBreak/>
        <w:t xml:space="preserve">7. Воздвиженский (Сибирякова), 8. Александровский,  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9. Петровский железоделательный завод.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До 1760 г. в Нерчинском горном округе был один сереброплавильный завод, затем были введены в эксплуатацию:: Дучарский (1760-1851гг.),  Кутомарский  (1764-1907  гг.), Екатерининский  (1777-1850  гг.), Шилкинский  (1769-1850  гг.),  Газимурский  (1778-1849  гг.),  Александровский (1792-1853 гг.), Воздвиженский (партикулярный  завод  Сибирякова) (1776-1790 гг.). В январе 1788 г. Нерчинские заводы поступили в ведомство Кабинета Его Императорского Величества.</w:t>
      </w:r>
    </w:p>
    <w:p w:rsidR="001E5D37" w:rsidRDefault="001E5D37" w:rsidP="001E5D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первой половине XIX в. стали известны знаменитые на весь мир месторождения самоцветов Боршовочного кряжа и Адун-Челона.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В середине XIX в. все сереброплавильные заводы закрылись. Возобновил работу в 1867 г. только Кутомарский для «утилизации труда ссыльнокаторжных», проработавший до 1907 г. 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За период 1698-1905 гг. в Забайкалье велась разработка 463 полиметаллических месторождений, на 5 из которых (Благодатское, Воздвиженское, Кадаинское, Михайловское и Екатерининское) объемы добытой руды на каждом превысили 100 тыс. т [29]. 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Нерчинские заводы явились первой базой в подготовке горных и заводских специалистов в России, в разработке новых технологий добычи и плавки металлов, в создании заводских устройстви машин. 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В 1714 г. в Москве Иван Мокеев выплавил первое промышленное золото из нерчинского серебра и до 1832 г. оно добывалось в Забайкалье  только из полиметаллических руд Приаргунья. В 1830 г. в долине р. Уды найдено первое россыпное золото.  Во второй половине </w:t>
      </w:r>
      <w:r w:rsidRPr="005D2E78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5D2E78">
        <w:rPr>
          <w:rFonts w:ascii="Times New Roman" w:hAnsi="Times New Roman" w:cs="Times New Roman"/>
          <w:sz w:val="28"/>
          <w:szCs w:val="28"/>
        </w:rPr>
        <w:t xml:space="preserve"> в. были открыты месторождения рудного золота: Баян-Зургинское (1871 г.), Илинское (1876 г), Хамарское (1878 г.), Любавинское (1882), Казаковское (1883 г.), Дарасунское (1886 г.), Апрелковское (1889 г.), Карийское (1902), Ключевское (1902). </w:t>
      </w:r>
    </w:p>
    <w:p w:rsidR="001E5D37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lastRenderedPageBreak/>
        <w:t xml:space="preserve">В 1914 на забайкальских рудниках Букука, Белуха, а и на Шерловой горе  был добыт первый вольфрамит. </w:t>
      </w:r>
    </w:p>
    <w:p w:rsidR="001E5D37" w:rsidRDefault="001E5D37" w:rsidP="001E5D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После установления советской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асти, еще до окончания Гражданской войны, работы возобновились, проведение их стало планомерным. В Забайкалье были направлены лучшие специалисты-геологи. В результате их исследований выявлены месторождения олова Хапчерангинское, Этыкинское, Шерловогорское, Будюмканское и др.</w:t>
      </w:r>
    </w:p>
    <w:p w:rsidR="001E5D37" w:rsidRPr="005D2E78" w:rsidRDefault="001E5D37" w:rsidP="001E5D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В 1926 г. академик С.С. Смирнов обнаружил примесь касситерита в свинцово-цинковых рудах Смирновского месторождения в Приаргунье, а затем в пади Малая Хапчеранга, где в 1934 г. был построен Хапчерангинский оловодобывающий комбинат. В 1930 г. было открыто крупное коренное Шерловогорское месторождение [46]. Олово здесь до 1962 г. добывалось из россыпей и только в 1962 г. началась отработка коренного месторождения. Хапчерангинское месторождение было отработано к 1962 г., а из-за нерентабельности в 90-х годах прекратил работу Шерловогорский комбинат.</w:t>
      </w:r>
    </w:p>
    <w:p w:rsidR="005D2E78" w:rsidRP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С 1932 г. по 1946 г. были открыты Антоновогорское, Молодежное, Куналейское, Студенческое, Шумиловское, Дедовогорское месторождения вольфрама, которые отрабатывались в 50-60-е годы рудниками Ангайтуй и Спокойнинский в Могойтуйском районе.</w:t>
      </w:r>
    </w:p>
    <w:p w:rsidR="001E5D37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Добыча молибдена на Гутайском месторождении началась в   1915 г.  и продолжилась в 1926 г. Чикойским рудником. В 40-е годы   </w:t>
      </w:r>
      <w:r w:rsidRPr="005D2E78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5D2E78">
        <w:rPr>
          <w:rFonts w:ascii="Times New Roman" w:hAnsi="Times New Roman" w:cs="Times New Roman"/>
          <w:sz w:val="28"/>
          <w:szCs w:val="28"/>
        </w:rPr>
        <w:t xml:space="preserve"> в. практически одновременно начинается добыча на Шахтаминском, Давендинском и Шерловогорском месторождениях молибдена. </w:t>
      </w:r>
    </w:p>
    <w:p w:rsidR="001E5D37" w:rsidRDefault="001E5D37" w:rsidP="001E5D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организацией в 1949 г. Читинского территориального геологического управления резко возросли объемы геологоразведочных работ. В течение первых 10--15 лет его деятельности существенно выросли разведанные промышленные запасы железа, угля, молибдена, вольфрама, золота, свинца, цинка, флюорита, строительных материалов.</w:t>
      </w:r>
    </w:p>
    <w:p w:rsidR="001E5D37" w:rsidRPr="0064513B" w:rsidRDefault="001E5D37" w:rsidP="001E5D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Минерально-сырьевая база Забайкалья создавалась в плодотворном сотрудничестве ученых и производственников. В результате планомерных </w:t>
      </w: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геолого-съемочных работ вся территория Читинской обл. (около 432000км</w:t>
      </w: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2</w:t>
      </w: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за сравнительно короткий срок (около 40 лет) полностью покрыта Государственной геологической съемкой масштаба 1:200000, 55 % площади -- съемкой масштаба 1:50 000. Геологическая изученность области - одна из самых высоких в России.</w:t>
      </w:r>
    </w:p>
    <w:p w:rsidR="005D2E78" w:rsidRDefault="005D2E78" w:rsidP="005D2E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В  1954 г. открыто Жирекенское месторождение, которое эксплуатировалось с 1988 по 1995 гг. и с 2000 по 2013 гг.</w:t>
      </w:r>
    </w:p>
    <w:p w:rsidR="001E5D37" w:rsidRDefault="001E5D37" w:rsidP="001E5D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планомерных поисково-разведочных работ промышленную оценку получили Абагайтуйское, Солонечное, Калангуйское и другие месторождения флюорита.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50-х годах завершена разведка уникального по качеству сырья Усуглинского, а также крупнейшего в Забайкалье Гарсонуйского месторождений флюорита.</w:t>
      </w:r>
    </w:p>
    <w:p w:rsidR="001E5D37" w:rsidRPr="009E1AEF" w:rsidRDefault="001E5D37" w:rsidP="001E5D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территории области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было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выявлено шесть ураново-рудных районов (Южно-Даурский, Оловский, Урулюнгуевский, Хилокский, Мензинский и Чикойский). Самый крупный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Урулюнгуевский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открытый в 60-е годы 20-го столетия,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включает уникальные и крупные месторождения Стрельцовское, Широндукуевское, Тулукуевское, Юбилейное, Новогоднее, Антей и др. В Стрельцовском рудном узле наряду с ураном содержатся промышленные концентрации молибдена в виде относительно редко встречающегося в других условиях сульфида молибдена. Приаргунское ПГХО, отрабатывающее эти месторождения, извлекает из руд уран и молибден.</w:t>
      </w:r>
    </w:p>
    <w:p w:rsidR="0046585F" w:rsidRDefault="0046585F" w:rsidP="0046585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результатам геологических исследований</w:t>
      </w:r>
      <w:r w:rsidRPr="00465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Забайкальском крае п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рогнозные ресурсы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железных руд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Чарско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рудно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оцениваются в 5890 млн.т. В Нерчинско-Заводском районе разведаны сидеритовые руды Березовского месторождения с запасами промышленных категорий 473 млн.т. Кроме того, известны мелкие месторождения магнетитовых руд в Газимуро-Заводском (Железный кряж, Яковлевское и др.), в Петровск-Забайкальском (Балягинское) и других районах.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Железотитановые месторождения относятся к титаномаг-нетитовому минеральному типу. В их числе крупнейшее Чинейское, руды которого наряду с магнетитом и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титаномагнетитом содержат ильменит. В них находится и легкоизвлекаемый ванадий в промышленных концентрациях, что позволит получать природно-легированные ванадием высокоценные стали. Прогнозные ресурсы этих руд 31,59 млрд.т. Из них около 10 млрд.т пригодны для отработки открытым способом.</w:t>
      </w:r>
    </w:p>
    <w:p w:rsidR="0046585F" w:rsidRPr="009E1AEF" w:rsidRDefault="0046585F" w:rsidP="0046585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Забайкальский край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важнейши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источник сырья редких металлов -- лития, тантала, ниобия, циркония, германия, редкоземельных элементов. Здесь находится одно из крупнейших в стране Завитинское месторождение лития. Главным концентратором этого металла является сподумен - один из основных компонентов редкометалльных сподуменовых пегматитов. десятки лет. Кроме лития руды содержат бериллий и тантал, а также ювелирные разности турмалина и берилла. Важными источниками лития могут быть Этыкинское и Княжевское месторождения. Прогнозные ресурсы и запасы определены в количестве сотен тысяч тонн. Кроме того, возможно увеличение запасов лития за счет Кангинского (Балейский район) и Олондинского (Каларский район) полей редкометалльных пегматитов. Суммарные прогнозные ресурсы по этим двум полям оцениваются в первые сотни тысяч тонн.</w:t>
      </w:r>
    </w:p>
    <w:p w:rsidR="0046585F" w:rsidRPr="009E1AEF" w:rsidRDefault="0046585F" w:rsidP="0046585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Промышленные запасы тантала связаны с Орловским, Этыкинским, Ачиканским и Мало-Кулиндинским месторождениями, а также с комплексными редкометалльными рудами Катугинского месторождения. Наряду с танталом в рудах всех перечисленных месторождений присутствует ниобий - важнейший легирующий компонент специальных сталей и других сплавов. Важнейший редкометалльный объект области - Катугинское месторождение комплексных редкометалльно-редкоземельных руд. Разведанные запасы руды составляют 744 млн.т. В ней есть также важнейшее сырье для выплавки алюминия - криолит, содержание которого составляет 2,3 %. В настоящее время выявлено восемь рудных районов, перспективных на тантал, ниобий и цирконий. Их прогнозные ресурсы и минерагенический потенциал оцениваются в сотни тысяч тонн Та</w:t>
      </w:r>
      <w:r w:rsidRPr="0046585F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46585F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5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 миллионы тонн Nb</w:t>
      </w:r>
      <w:r w:rsidRPr="0046585F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46585F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5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ZrO</w:t>
      </w:r>
      <w:r w:rsidRPr="0046585F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может удовлетворить всю потребность страны на длительную перспективу.</w:t>
      </w:r>
    </w:p>
    <w:p w:rsidR="0046585F" w:rsidRDefault="0046585F" w:rsidP="0046585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редких элементов, используемых в промышленности полупроводников, отметим германий, промышленные концентрации которого связаны с месторождениями бурых углей. Наиболее важным из них является Тарбагатайское, где содержание германия достигает уникальных значений. Установлена также германиеносность углей Иргенского, Мордойского, Алтанского, Среднеаргунского и других месторождений. Из редких элементов, которые могут извлекаться попутно, можно отметить висмут, таллий, галлий, индий, теллур, скандий.</w:t>
      </w:r>
    </w:p>
    <w:p w:rsidR="00C37694" w:rsidRPr="0064513B" w:rsidRDefault="00C37694" w:rsidP="00C3769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Месторождения у</w:t>
      </w: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связан с верхнемезозойскими отложениями, выполняющими грабепоподобные впадины, грабен-синклинали и мульды. Всего известно 24 промышленных месторождения угля. Из них:</w:t>
      </w:r>
    </w:p>
    <w:p w:rsidR="00C37694" w:rsidRPr="0064513B" w:rsidRDefault="00C37694" w:rsidP="00C3769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* 15 - бурых углей (Харанорское, Татауровское, Уртуйское и др.) с общими балансовыми запасами 2,24 млрд.т и прогнозными ресурсами 891 млн.т;</w:t>
      </w:r>
    </w:p>
    <w:p w:rsidR="00C37694" w:rsidRPr="0064513B" w:rsidRDefault="00C37694" w:rsidP="00C3769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* 9 -- каменных углей: крупнейшее Апсатское (975,9 млн т запасов и 1249 млн т прогнозных ресурсов), Красночикойское, Олонь-Шибирское и др.</w:t>
      </w:r>
    </w:p>
    <w:p w:rsidR="00C37694" w:rsidRDefault="00C37694" w:rsidP="00C3769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Общие балансовые запасы каменного угля - 2040,3 млн.т и прогнозные ресурсы - 1762,0 млн.т. Кроме того, выявлено 77 углепроявлении. </w:t>
      </w:r>
    </w:p>
    <w:p w:rsidR="00C37694" w:rsidRPr="0064513B" w:rsidRDefault="00C37694" w:rsidP="00C376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Часть угольных месторождений (Апсатское, Читкандинское) обладают высокой газоносностью. Общие запасы метана достигают 63--65 млрд.м</w:t>
      </w:r>
      <w:r w:rsidRPr="00C3769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Его ресурсы только по Апсатскому месторождению позволяют добывать 1,0-1,5 млрд.м</w:t>
      </w:r>
      <w:r w:rsidRPr="00C3769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6451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метана в год. Имеющиеся ресурсы углей полностью удовлетворяют энергетические потребности области. Горючие сланцы также связаны с осадками в мезозойских впадинах. В области известно свыше десятка их месторождений и проявлений (Юмурченское, Тургинское, Чиндантское и другие), но они еще слабо изучены.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территории края отмечены проявления нефтеносности в районе Ононской впадины.</w:t>
      </w:r>
    </w:p>
    <w:p w:rsidR="00252841" w:rsidRDefault="00252841" w:rsidP="0025284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Сакунско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месторождени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расположенно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25 км к юго-востоку от железнодорожной станции Хани БАМ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может быть сырьем для производства калийных удобрений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При среднем содержании К</w:t>
      </w:r>
      <w:r w:rsidRPr="00252841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18,2 % и Аl</w:t>
      </w:r>
      <w:r w:rsidRPr="00252841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252841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3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21,3 % разведанные запасы сынныритов составляют 258 млн.т, прогнозные ресурсы - 2,6 млрд.т. Безотходная переработка позволяет получать ценное бесхлорное калийное удобрение и глинозем - исходный продукт для выплавки алюминия.</w:t>
      </w:r>
    </w:p>
    <w:p w:rsidR="0046585F" w:rsidRDefault="00252841" w:rsidP="0046585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Забайкальском крае</w:t>
      </w:r>
      <w:r w:rsidR="00465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</w:t>
      </w:r>
      <w:r w:rsidR="0046585F"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азведано Усть-Борзинское месторождение высококачественных известняков и Быркинское - глин, на базе которых возможно крупное производство цемента. Кроме того, разведано Закультинское месторождение перлитов, Жипхегенское - гранитов и более двухсот месторождений песков, строительного камня, кирпичных и бентонитовых глин. </w:t>
      </w:r>
    </w:p>
    <w:p w:rsidR="00252841" w:rsidRDefault="0046585F" w:rsidP="0046585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конце 1980-х годов открыты и разведаны крупнейшие в России Шивыртуйское и Холинское месторождения цеолитов, Уртуйское -- флюорита.</w:t>
      </w:r>
    </w:p>
    <w:p w:rsidR="0046585F" w:rsidRDefault="0046585F" w:rsidP="0046585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 последние десятилетия на территории </w:t>
      </w:r>
      <w:r w:rsidR="002528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края</w:t>
      </w: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разведано более 50 месторождений подземных вод.</w:t>
      </w:r>
    </w:p>
    <w:p w:rsidR="00252841" w:rsidRDefault="00252841" w:rsidP="002528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 xml:space="preserve">В 90-х года </w:t>
      </w:r>
      <w:r w:rsidRPr="005D2E78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5D2E78">
        <w:rPr>
          <w:rFonts w:ascii="Times New Roman" w:hAnsi="Times New Roman" w:cs="Times New Roman"/>
          <w:sz w:val="28"/>
          <w:szCs w:val="28"/>
        </w:rPr>
        <w:t xml:space="preserve"> в., по данным Г.А. Юргенсона, в Читинской области добывалось в процентах от общесоюзной добычи: свинцовых концентратов – 26,1 %; цинковых – 7,8 %; молибденовых – 20,3 %; литиевых -30 %; золота – 8 % . За более чем 300 летнюю историю добычи золота в Забайкалье добыто 1040 т.</w:t>
      </w:r>
    </w:p>
    <w:p w:rsidR="00252841" w:rsidRDefault="00252841" w:rsidP="002528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E78">
        <w:rPr>
          <w:rFonts w:ascii="Times New Roman" w:hAnsi="Times New Roman" w:cs="Times New Roman"/>
          <w:sz w:val="28"/>
          <w:szCs w:val="28"/>
        </w:rPr>
        <w:t>Недостаток капиталовложений в 90-е годы XX века привел к снижению добычи минерального сырья в отрасли более чем вдвое, многие рудники и горнообогатительные комбинаты (ГОКи) прекратили свое существование. Освоение новых месторождений встречается с очень большими трудностями.</w:t>
      </w:r>
    </w:p>
    <w:p w:rsidR="00252841" w:rsidRDefault="00252841" w:rsidP="002528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2841" w:rsidRDefault="00252841" w:rsidP="002528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2841" w:rsidRPr="00252841" w:rsidRDefault="00252841" w:rsidP="00252841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6.2 М</w:t>
      </w:r>
      <w:r w:rsidRPr="00252841">
        <w:rPr>
          <w:rFonts w:ascii="Times New Roman" w:hAnsi="Times New Roman" w:cs="Times New Roman"/>
          <w:bCs/>
          <w:sz w:val="28"/>
          <w:szCs w:val="28"/>
        </w:rPr>
        <w:t>инерально-сырьевая база Забайкальского края</w:t>
      </w:r>
    </w:p>
    <w:p w:rsidR="00252841" w:rsidRPr="005D2E78" w:rsidRDefault="00252841" w:rsidP="002528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857DD" w:rsidRDefault="002857DD" w:rsidP="002857D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1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настоящему времени минерально-сырьевая база Забайкальского края остается весьма значительной. В недрах Забайкалья заключено: 87% урана; 42% плавикового шпата; 36% циркония; 30% молибдена; 25% меди; 23% титана; 16% вольфрама; 13% серебра; 9% свинца; 9% золота; 6% олова; 3% цинка; 2% железных руд и 1,3 % угля от разведанных запасов Российской Федерации.</w:t>
      </w:r>
    </w:p>
    <w:p w:rsidR="005D2E78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4513B">
        <w:rPr>
          <w:rFonts w:ascii="Times New Roman" w:hAnsi="Times New Roman" w:cs="Times New Roman"/>
          <w:bCs/>
          <w:iCs/>
          <w:sz w:val="28"/>
          <w:szCs w:val="28"/>
        </w:rPr>
        <w:t xml:space="preserve">Основными источниками цветных и благородных металлов в Забайкалье, на которых ведется их добыча, подготовка к отработке или которые законсервированы, являются месторождения: меди, полиметаллов, молибдена, сурьмы, вольфрама и золота. </w:t>
      </w:r>
    </w:p>
    <w:p w:rsidR="00C37694" w:rsidRPr="0064513B" w:rsidRDefault="00C37694" w:rsidP="00C37694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Практически пятая часть запасов </w:t>
      </w:r>
      <w:r w:rsidRPr="0064513B">
        <w:rPr>
          <w:rFonts w:ascii="Times New Roman" w:hAnsi="Times New Roman" w:cs="Times New Roman"/>
          <w:b/>
          <w:i/>
          <w:sz w:val="28"/>
          <w:szCs w:val="28"/>
        </w:rPr>
        <w:t>меди</w:t>
      </w:r>
      <w:r w:rsidRPr="0064513B">
        <w:rPr>
          <w:rFonts w:ascii="Times New Roman" w:hAnsi="Times New Roman" w:cs="Times New Roman"/>
          <w:sz w:val="28"/>
          <w:szCs w:val="28"/>
        </w:rPr>
        <w:t xml:space="preserve"> России сосредоточена на уникальном Удоканском месторождении медистых песчаников, расположенном в зоне БАМа (Чечёткин, Харитонов, 2009). Запасы меди здесь составляют 20 млн.т. при среднем содержании 1,53 %. </w:t>
      </w:r>
      <w:r w:rsidRPr="0064513B">
        <w:rPr>
          <w:rFonts w:ascii="Times New Roman" w:hAnsi="Times New Roman" w:cs="Times New Roman"/>
          <w:spacing w:val="-4"/>
          <w:sz w:val="28"/>
          <w:szCs w:val="28"/>
        </w:rPr>
        <w:t>В непосредственной близости от месторождения выявлен и предварительно оценен целый ряд крупных, средних и мелких объектов данного типа (Ункурское, Бурпалинское, Сакинское, Право-Ингамакитское и др.).</w:t>
      </w:r>
    </w:p>
    <w:p w:rsidR="00C37694" w:rsidRPr="0064513B" w:rsidRDefault="00C37694" w:rsidP="00C37694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>Геологические запасы их составляют более половины разведанных на Удокане</w:t>
      </w:r>
      <w:r>
        <w:rPr>
          <w:rFonts w:ascii="Times New Roman" w:hAnsi="Times New Roman" w:cs="Times New Roman"/>
          <w:sz w:val="28"/>
          <w:szCs w:val="28"/>
        </w:rPr>
        <w:t xml:space="preserve"> (рис. 6.2)</w:t>
      </w:r>
      <w:r w:rsidRPr="0064513B">
        <w:rPr>
          <w:rFonts w:ascii="Times New Roman" w:hAnsi="Times New Roman" w:cs="Times New Roman"/>
          <w:sz w:val="28"/>
          <w:szCs w:val="28"/>
        </w:rPr>
        <w:t>. В этом же районе к Чинейскому массиву приурочено одноименное месторождение меденосных габброидов, запасы и прогнозные ресурсы меди которого составляют 40 % общих запасов Удоканского месторождения, а ценность 1 т руды в 2-2,5 раза выше за счет попутных компонентов (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Ni</w:t>
      </w:r>
      <w:r w:rsidRPr="0064513B">
        <w:rPr>
          <w:rFonts w:ascii="Times New Roman" w:hAnsi="Times New Roman" w:cs="Times New Roman"/>
          <w:sz w:val="28"/>
          <w:szCs w:val="28"/>
        </w:rPr>
        <w:t xml:space="preserve">,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64513B">
        <w:rPr>
          <w:rFonts w:ascii="Times New Roman" w:hAnsi="Times New Roman" w:cs="Times New Roman"/>
          <w:sz w:val="28"/>
          <w:szCs w:val="28"/>
        </w:rPr>
        <w:t xml:space="preserve">,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Pt</w:t>
      </w:r>
      <w:r w:rsidRPr="0064513B">
        <w:rPr>
          <w:rFonts w:ascii="Times New Roman" w:hAnsi="Times New Roman" w:cs="Times New Roman"/>
          <w:sz w:val="28"/>
          <w:szCs w:val="28"/>
        </w:rPr>
        <w:t xml:space="preserve">,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Pd</w:t>
      </w:r>
      <w:r w:rsidRPr="0064513B">
        <w:rPr>
          <w:rFonts w:ascii="Times New Roman" w:hAnsi="Times New Roman" w:cs="Times New Roman"/>
          <w:sz w:val="28"/>
          <w:szCs w:val="28"/>
        </w:rPr>
        <w:t xml:space="preserve">,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Au</w:t>
      </w:r>
      <w:r w:rsidRPr="0064513B">
        <w:rPr>
          <w:rFonts w:ascii="Times New Roman" w:hAnsi="Times New Roman" w:cs="Times New Roman"/>
          <w:sz w:val="28"/>
          <w:szCs w:val="28"/>
        </w:rPr>
        <w:t xml:space="preserve">,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64513B">
        <w:rPr>
          <w:rFonts w:ascii="Times New Roman" w:hAnsi="Times New Roman" w:cs="Times New Roman"/>
          <w:sz w:val="28"/>
          <w:szCs w:val="28"/>
        </w:rPr>
        <w:t xml:space="preserve"> и др.). Подобное медное оруденение отмечено и в Верхне-Сакуканском, Луктурском, Эбкачанском массивах. Прогнозные ресурсы этих объектов по меди сопоставимы с запасами Удокана.</w:t>
      </w:r>
    </w:p>
    <w:p w:rsidR="00C37694" w:rsidRPr="0064513B" w:rsidRDefault="00C37694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Создаётся новая крупная сырьевая база меди на юго-востоке края за счет месторождений скарново-медно-порфирового типа (Быстринское, Лугоканское, Култуминское месторождения). Наиболее перспективным </w:t>
      </w:r>
      <w:r w:rsidRPr="0064513B">
        <w:rPr>
          <w:rFonts w:ascii="Times New Roman" w:hAnsi="Times New Roman" w:cs="Times New Roman"/>
          <w:sz w:val="28"/>
          <w:szCs w:val="28"/>
        </w:rPr>
        <w:lastRenderedPageBreak/>
        <w:t xml:space="preserve">является Быстринское месторождение, разведанные запасы категорий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64513B">
        <w:rPr>
          <w:rFonts w:ascii="Times New Roman" w:hAnsi="Times New Roman" w:cs="Times New Roman"/>
          <w:sz w:val="28"/>
          <w:szCs w:val="28"/>
        </w:rPr>
        <w:t>+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4513B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64513B">
        <w:rPr>
          <w:rFonts w:ascii="Times New Roman" w:hAnsi="Times New Roman" w:cs="Times New Roman"/>
          <w:sz w:val="28"/>
          <w:szCs w:val="28"/>
        </w:rPr>
        <w:t>+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4513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4513B">
        <w:rPr>
          <w:rFonts w:ascii="Times New Roman" w:hAnsi="Times New Roman" w:cs="Times New Roman"/>
          <w:sz w:val="28"/>
          <w:szCs w:val="28"/>
        </w:rPr>
        <w:t xml:space="preserve"> в контуре карьера составляют: медь – 2258 тыс. т (содержание 0,7 %); золото – 261 т (0,8 г/т); серебро – 1167 т (36 г/т); железо – 74 млн. т (22,8 %).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451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53354" cy="4822166"/>
            <wp:effectExtent l="0" t="0" r="0" b="0"/>
            <wp:docPr id="3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800" cy="482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E78" w:rsidRPr="0064513B" w:rsidRDefault="005D2E78" w:rsidP="0064513B">
      <w:pPr>
        <w:pStyle w:val="ae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i/>
          <w:noProof/>
          <w:sz w:val="28"/>
          <w:szCs w:val="28"/>
        </w:rPr>
        <w:t>Рис.</w:t>
      </w:r>
      <w:r w:rsidR="00C37694">
        <w:rPr>
          <w:rFonts w:ascii="Times New Roman" w:hAnsi="Times New Roman" w:cs="Times New Roman"/>
          <w:i/>
          <w:noProof/>
          <w:sz w:val="28"/>
          <w:szCs w:val="28"/>
        </w:rPr>
        <w:t>6</w:t>
      </w:r>
      <w:r w:rsidRPr="0064513B">
        <w:rPr>
          <w:rFonts w:ascii="Times New Roman" w:hAnsi="Times New Roman" w:cs="Times New Roman"/>
          <w:i/>
          <w:noProof/>
          <w:sz w:val="28"/>
          <w:szCs w:val="28"/>
        </w:rPr>
        <w:t>.</w:t>
      </w:r>
      <w:r w:rsidR="00C37694">
        <w:rPr>
          <w:rFonts w:ascii="Times New Roman" w:hAnsi="Times New Roman" w:cs="Times New Roman"/>
          <w:i/>
          <w:noProof/>
          <w:sz w:val="28"/>
          <w:szCs w:val="28"/>
        </w:rPr>
        <w:t>2</w:t>
      </w:r>
      <w:r w:rsidRPr="0064513B">
        <w:rPr>
          <w:rFonts w:ascii="Times New Roman" w:hAnsi="Times New Roman" w:cs="Times New Roman"/>
          <w:noProof/>
          <w:sz w:val="28"/>
          <w:szCs w:val="28"/>
        </w:rPr>
        <w:t xml:space="preserve">  Схема размещения основных месторождений полезных ископаемых Забайкальского края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>Кроме того, оцененные прогнозные ресурсы меди – 1500 тыс. т, золота – 145 т, серебра – 1300 т, железа – 29 млн. т. На Култуминском месторождении утверждены ГКЗ запасы в контуре карьера: меди – 612 тыс. т (0,33 %), золота – 123 т (0,66 г/т), железа – 33 млн. т (17,8 %); прогнозные ресурсы составляют: меди – 900 тыс. т, золота – 200 т, железа – 50 млн. т. Завершается разведка Лугоканского месторождения, ожидаемые запасы меди 500 тыс. т, золота – 150 т.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lastRenderedPageBreak/>
        <w:t>Имеются предпосылки выявления месторождений медно-порфирового типа с золотом, молибденом в пределах Уронайского рудного узла, в Газимуро-Заводском, Могочинском и Верхне-Олекминском рудных районах.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Около 500 месторождений и проявлений </w:t>
      </w:r>
      <w:r w:rsidRPr="0064513B">
        <w:rPr>
          <w:rFonts w:ascii="Times New Roman" w:hAnsi="Times New Roman" w:cs="Times New Roman"/>
          <w:b/>
          <w:i/>
          <w:sz w:val="28"/>
          <w:szCs w:val="28"/>
        </w:rPr>
        <w:t>свинца и цинка</w:t>
      </w:r>
      <w:r w:rsidRPr="0064513B">
        <w:rPr>
          <w:rFonts w:ascii="Times New Roman" w:hAnsi="Times New Roman" w:cs="Times New Roman"/>
          <w:sz w:val="28"/>
          <w:szCs w:val="28"/>
        </w:rPr>
        <w:t xml:space="preserve"> располагаются в пределах междуречья Газимура и Аргуни. Выделяется два геолого-промышленных типа свинцово-цинковых руд: нерчинский и новоширокинский. Для них характерен поликомпонентный состав (свинец, цинк, серебро, золото, серебро, кадмий, медь, индий, таллий, висмут, теллур, селен и др.). 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>Руды нерчинского типа концентрируют около 90 % запасов полиметаллических руд края и представлены в основном мелкими и средними месторождениями  (Воздвиженское, Благодатское, Екатерино-Благодатское, Кадаинское, Савинское № 5, Акатуевское и др.). Прогнозные ресурсы свинца и цинка в рудах этого типа в Приаргунье составляют соответственно 1,5 и 2,1 млн. т. Имеются перспективы возобновления добычи полиметаллических руд на Воздвиженском и Акатуевском месторождениях.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 В новоширокинском типе месторождений (Новоширокинское, Нойон-Тологойское, Покровское, Алгачинское и др. месторождения) отмечается преобладание свинца над цинком и повышенное содержание золота. Кроме того, объекты этого типа намного крупнее, чем нерчинский. Наиболее перспектиным и подготовленным к освоению является Ново-Широкинское месторождение, на котором при производительности 400 тыс. т руды в год можно ежегодно добывать 5,5 тыс. т цинка, 12,8 тыс.т свинца, 1,3 т золота и более 30 т серебра. Самое крупное месторождение в крае Нойон-Тологойское, запасы и прогнозные ресурсы которого составляют: свинца – 920 тыс. т, цинка – 1091 тыс. т, серебра – более 4 тыс. т при содержании соответственно 1,04 %, 1,22 % и 44 г/т. 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До конца 80-х годов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64513B">
        <w:rPr>
          <w:rFonts w:ascii="Times New Roman" w:hAnsi="Times New Roman" w:cs="Times New Roman"/>
          <w:sz w:val="28"/>
          <w:szCs w:val="28"/>
        </w:rPr>
        <w:t xml:space="preserve"> века Забайкальский край поставлял более 20 % </w:t>
      </w:r>
      <w:r w:rsidRPr="0064513B">
        <w:rPr>
          <w:rFonts w:ascii="Times New Roman" w:hAnsi="Times New Roman" w:cs="Times New Roman"/>
          <w:b/>
          <w:i/>
          <w:sz w:val="28"/>
          <w:szCs w:val="28"/>
        </w:rPr>
        <w:t>молибдена</w:t>
      </w:r>
      <w:r w:rsidRPr="0064513B">
        <w:rPr>
          <w:rFonts w:ascii="Times New Roman" w:hAnsi="Times New Roman" w:cs="Times New Roman"/>
          <w:sz w:val="28"/>
          <w:szCs w:val="28"/>
        </w:rPr>
        <w:t xml:space="preserve">, добываемого в СССР. Сейчас запасы молибдена числятся по 3 </w:t>
      </w:r>
      <w:r w:rsidRPr="0064513B">
        <w:rPr>
          <w:rFonts w:ascii="Times New Roman" w:hAnsi="Times New Roman" w:cs="Times New Roman"/>
          <w:sz w:val="28"/>
          <w:szCs w:val="28"/>
        </w:rPr>
        <w:lastRenderedPageBreak/>
        <w:t xml:space="preserve">месторождениям: Жирекенскому, Бугдаинскому и Аманан-Макитскому. Жирекенское месторождение до остановки эксплуатации в 2013 г отрабатывалось карьером. В </w:t>
      </w:r>
      <w:smartTag w:uri="urn:schemas-microsoft-com:office:smarttags" w:element="metricconverter">
        <w:smartTagPr>
          <w:attr w:name="ProductID" w:val="2008 г"/>
        </w:smartTagPr>
        <w:r w:rsidRPr="0064513B">
          <w:rPr>
            <w:rFonts w:ascii="Times New Roman" w:hAnsi="Times New Roman" w:cs="Times New Roman"/>
            <w:sz w:val="28"/>
            <w:szCs w:val="28"/>
          </w:rPr>
          <w:t>2008 г</w:t>
        </w:r>
      </w:smartTag>
      <w:r w:rsidRPr="0064513B">
        <w:rPr>
          <w:rFonts w:ascii="Times New Roman" w:hAnsi="Times New Roman" w:cs="Times New Roman"/>
          <w:sz w:val="28"/>
          <w:szCs w:val="28"/>
        </w:rPr>
        <w:t xml:space="preserve">. добыча молибдена здесь составила 1,9 тыс. т, (ферромолибден), меди 2,4 тыс. т (медный концентрат). На Бугдаинском местродении проведена геолого-экономическая переоценка, запасы молибдена составляют 600 тыс. т (содержание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Mo</w:t>
      </w:r>
      <w:r w:rsidRPr="0064513B">
        <w:rPr>
          <w:rFonts w:ascii="Times New Roman" w:hAnsi="Times New Roman" w:cs="Times New Roman"/>
          <w:sz w:val="28"/>
          <w:szCs w:val="28"/>
        </w:rPr>
        <w:t xml:space="preserve"> – 0,08 %), это крупнейшее месторождение молибдена в России. Прогнозные ресурсы молибдена на 18 объектах оцениваются в 1,5 млн. т. Имеются предпосылки открытия ещё 4 крупных и средних по запасам месторождений.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>Забайкальский край один из наиболее перспективных территорий на обнаружение и добычу промышленно значимых месторождений с</w:t>
      </w:r>
      <w:r w:rsidRPr="006451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урьмы и ртути</w:t>
      </w:r>
      <w:r w:rsidRPr="0064513B">
        <w:rPr>
          <w:rFonts w:ascii="Times New Roman" w:hAnsi="Times New Roman" w:cs="Times New Roman"/>
          <w:sz w:val="28"/>
          <w:szCs w:val="28"/>
        </w:rPr>
        <w:t xml:space="preserve">.  Перспективными  являются ртутно-сурьмяноносный Дарасуно-Балейский рудный район,  ртутно-сурьмяно-вольфрамовые месторождения Барун-Шивеинское, Усть-Сергинское. Прогнозные ресурсы сурьмы в Газимурской - киноварь-флюорит-антимонитовой, Итака-Дарасунская –золотоантимонитовой, Тыргетуй-Жипкошинской – антимонитовой золотоминерагенических зонах составляет соотвественно 60, 40 и 60 тыс.т. 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Вольфрамит для производства </w:t>
      </w:r>
      <w:r w:rsidRPr="0064513B">
        <w:rPr>
          <w:rFonts w:ascii="Times New Roman" w:hAnsi="Times New Roman" w:cs="Times New Roman"/>
          <w:b/>
          <w:i/>
          <w:sz w:val="28"/>
          <w:szCs w:val="28"/>
        </w:rPr>
        <w:t>в</w:t>
      </w:r>
      <w:r w:rsidRPr="006451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ольфрама</w:t>
      </w:r>
      <w:r w:rsidRPr="0064513B">
        <w:rPr>
          <w:rFonts w:ascii="Times New Roman" w:hAnsi="Times New Roman" w:cs="Times New Roman"/>
          <w:sz w:val="28"/>
          <w:szCs w:val="28"/>
        </w:rPr>
        <w:t xml:space="preserve"> в Забайкальском крае добывается только на Бом-Горхонском месторождении. Остальные месторождения (Спокойнинское, Шумиловское) законсервированы. Прогнозные ресурсы по 19 перспективным месторождениям и проявлениям оцениваются в 300 тыс. т трехокиси вольфрама.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Забайкальский край до середины </w:t>
      </w:r>
      <w:r w:rsidRPr="0064513B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64513B">
        <w:rPr>
          <w:rFonts w:ascii="Times New Roman" w:hAnsi="Times New Roman" w:cs="Times New Roman"/>
          <w:sz w:val="28"/>
          <w:szCs w:val="28"/>
        </w:rPr>
        <w:t xml:space="preserve"> в.  был одним из основных поставщиков </w:t>
      </w:r>
      <w:r w:rsidRPr="0064513B">
        <w:rPr>
          <w:rFonts w:ascii="Times New Roman" w:hAnsi="Times New Roman" w:cs="Times New Roman"/>
          <w:b/>
          <w:i/>
          <w:sz w:val="28"/>
          <w:szCs w:val="28"/>
        </w:rPr>
        <w:t>олова</w:t>
      </w:r>
      <w:r w:rsidRPr="0064513B">
        <w:rPr>
          <w:rFonts w:ascii="Times New Roman" w:hAnsi="Times New Roman" w:cs="Times New Roman"/>
          <w:sz w:val="28"/>
          <w:szCs w:val="28"/>
        </w:rPr>
        <w:t xml:space="preserve">, добываемого из руд месторождений кварц-касситеритовой (Ононское, Баджираевское, Будюмканское и др.) и силикатно-сульфидно-касситеритовой (Хапчерангинское, Шерловогорское и др.) формаций, а также многочисленных россыпей. К перспективным можно отнести оловоредкометальные месторождения скарнового типа (Богдатское, Орочинское, Аркиинское), а также олово-серебряное Безымянное. Прогнозные ресурсы последнего оцениваются в десятки тысяч тонн олова, а </w:t>
      </w:r>
      <w:r w:rsidRPr="0064513B">
        <w:rPr>
          <w:rFonts w:ascii="Times New Roman" w:hAnsi="Times New Roman" w:cs="Times New Roman"/>
          <w:sz w:val="28"/>
          <w:szCs w:val="28"/>
        </w:rPr>
        <w:lastRenderedPageBreak/>
        <w:t>общие прогнозные ресурсы юга края – в сотни тысяч тонн.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b/>
          <w:sz w:val="28"/>
          <w:szCs w:val="28"/>
        </w:rPr>
        <w:t xml:space="preserve">Благородные металлы. </w:t>
      </w:r>
      <w:r w:rsidRPr="0064513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Серебро </w:t>
      </w:r>
      <w:r w:rsidRPr="0064513B">
        <w:rPr>
          <w:rFonts w:ascii="Times New Roman" w:hAnsi="Times New Roman" w:cs="Times New Roman"/>
          <w:sz w:val="28"/>
          <w:szCs w:val="28"/>
        </w:rPr>
        <w:t>широко распространено в Забайкалье и присутствует в концентратах, извлекаемых попутно из руд месторождений золота, свинца и цинка, меди, молибдена, олова и вольфрама. В государственном балансе запасов серебро учтено на 23 месторождениях (Удоканское, Быстринское, Ново-Широкинское, Балейское, Тасеевское и др.).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b/>
          <w:i/>
          <w:iCs/>
          <w:sz w:val="28"/>
          <w:szCs w:val="28"/>
        </w:rPr>
        <w:t>Золото</w:t>
      </w:r>
      <w:r w:rsidRPr="0064513B"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Pr="0064513B">
        <w:rPr>
          <w:rFonts w:ascii="Times New Roman" w:hAnsi="Times New Roman" w:cs="Times New Roman"/>
          <w:bCs/>
          <w:sz w:val="28"/>
          <w:szCs w:val="28"/>
        </w:rPr>
        <w:t>В крае открыто и в разной степени изучено более 1000 месторождений и проявлений коренного и россыпного золота. Преобладающая часть относительно крупных промышленных объектов сосредоточена в Балейско-Дарасунской золоторудной зоне. Месторождения относятся к золотокварцевой (Воскресенское, Шундуинское, Казаковское, Любавинского, Апрелковско-Пешковского рудных узлов и др.); золотосульфидно-кварцевой (Средне-Голготайское, Теремкинское, Итакинское, Алиинское, Карийское поле и др.); золотокварцево-сульфидной (Дарасунское, Ключевское, Уконикское, Ново-Широкинское); малоглубинной золотосеребряной (Балейское рудное поле) формациям. К последней принадлежит около   4 % общего числа месторождений, в которых сосредоточено до 20 %  промышленных запасов золота. Балейское и Тасеевское месторождения относятся к уникальным как по содержанию (до 346 кг/т), так и по запасам золота. Крупные промышленные запасы рудного золота сосредоточены, кроме этого, в Дарасунском, Итакинском, Ново-Широкинском, Ключевском, Талатуйском, Карийском и некоторых других месторождениях. Прогнозные ресурсы во много раз превышают разведанные запасы и достигают нескольких сотен миллионов тонн руды с промышленными содержаниями металла. При этом более половины их приходится на Дарасунский, Могочинский, Балейский и Будюмкано-Култуминский рудные районы. Кроме собственно золоторудных, источниками золота могут быть месторождения медистых песчаников (Сюльбанская группа, Бурпалиснкое, Право-Ингамакитское и др.) и медно-</w:t>
      </w:r>
      <w:r w:rsidRPr="0064513B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никелевые залежи (Чинейское), а также других типов, в частности медно-скарново-порфировые, на которых запасы и ресурсы золота превышают таковые на собственно золотых месторождениях.  </w:t>
      </w:r>
    </w:p>
    <w:p w:rsidR="005D2E78" w:rsidRPr="0064513B" w:rsidRDefault="005D2E78" w:rsidP="0064513B">
      <w:pPr>
        <w:pStyle w:val="a5"/>
        <w:spacing w:after="0" w:line="360" w:lineRule="auto"/>
        <w:ind w:firstLine="709"/>
        <w:jc w:val="both"/>
        <w:rPr>
          <w:sz w:val="28"/>
          <w:szCs w:val="28"/>
        </w:rPr>
      </w:pPr>
      <w:r w:rsidRPr="0064513B">
        <w:rPr>
          <w:sz w:val="28"/>
          <w:szCs w:val="28"/>
        </w:rPr>
        <w:t>Перспективы создания сырьевой базы коренного золота в зоне БАМ связываются с Таллаи-Бахтарнакским рудным узлом, где известно большое число слабо изученных объектов со значительными прогнозными ресурсами (Бахтарнак, Дикий и др.).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Россыпные месторождения</w:t>
      </w:r>
      <w:r w:rsidRPr="0064513B">
        <w:rPr>
          <w:rFonts w:ascii="Times New Roman" w:hAnsi="Times New Roman" w:cs="Times New Roman"/>
          <w:sz w:val="28"/>
          <w:szCs w:val="28"/>
        </w:rPr>
        <w:t xml:space="preserve"> сосредоточены в пределах Чикойского, Южно-Даурского, Балейского и других рудных районов. Запасы золота в россыпях варьируют от нескольких десятков килограммов до десятков тонн. В настоящее время перемываются в основном ранее разрабатывающиеся россыпные месторождения (Шахтаминское, Казаковское, Ундинское, Урюмское и др.). Промышленные запасы россыпного золота в традиционных районах добычи позволят вести её при существующей производительности ещё 10-15 лет.</w:t>
      </w:r>
    </w:p>
    <w:p w:rsidR="005D2E78" w:rsidRPr="0064513B" w:rsidRDefault="005D2E78" w:rsidP="0064513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pacing w:val="-10"/>
          <w:sz w:val="28"/>
          <w:szCs w:val="28"/>
        </w:rPr>
        <w:t>В результате поисковых работ обоснована россыпная золотоносность и северных  рудных районов области – Чарского, Муйского, Каларского, Калаканского и Верхне-Олекминского.</w:t>
      </w:r>
      <w:r w:rsidRPr="0064513B">
        <w:rPr>
          <w:rFonts w:ascii="Times New Roman" w:hAnsi="Times New Roman" w:cs="Times New Roman"/>
          <w:sz w:val="28"/>
          <w:szCs w:val="28"/>
        </w:rPr>
        <w:t xml:space="preserve"> Прогнозные ресурсы золота в этих районах обеспечивают возможность добычи драгоценного металла в течение 20 лет. Прирост запасов россыпного золота предполагается также за счет поисков древних погребенных россыпей. </w:t>
      </w:r>
    </w:p>
    <w:p w:rsidR="005D2E78" w:rsidRPr="0064513B" w:rsidRDefault="005D2E78" w:rsidP="006451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3B">
        <w:rPr>
          <w:rFonts w:ascii="Times New Roman" w:hAnsi="Times New Roman" w:cs="Times New Roman"/>
          <w:sz w:val="28"/>
          <w:szCs w:val="28"/>
        </w:rPr>
        <w:t xml:space="preserve">Запасы золота составляют 1164,9 т., из них рудного – 1073,1 т., россыпного 91,8 т., меди 22671,4 тыс.т., молибдена ‒ 677 тыс.т, вольфрама ‒ 62,8 тыс.т, сурьмы – 85,7 тыс. т., свинца – 1430,8 тыс. т., цинка – 1259,2 тыс. т., титана – 109913 тыс. т. </w:t>
      </w:r>
    </w:p>
    <w:p w:rsidR="005D2E78" w:rsidRPr="0064513B" w:rsidRDefault="005D2E78" w:rsidP="006451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2E78" w:rsidRPr="0064513B" w:rsidRDefault="005D2E78" w:rsidP="006451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D2E78" w:rsidRPr="0064513B" w:rsidRDefault="005D2E78" w:rsidP="0064513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5D2E78" w:rsidRPr="0064513B" w:rsidSect="00DF5BA6">
      <w:foot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7842" w:rsidRDefault="00B87842" w:rsidP="00B87842">
      <w:pPr>
        <w:spacing w:after="0" w:line="240" w:lineRule="auto"/>
      </w:pPr>
      <w:r>
        <w:separator/>
      </w:r>
    </w:p>
  </w:endnote>
  <w:endnote w:type="continuationSeparator" w:id="0">
    <w:p w:rsidR="00B87842" w:rsidRDefault="00B87842" w:rsidP="00B878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C5C" w:rsidRDefault="00B87842">
    <w:pPr>
      <w:pStyle w:val="aa"/>
      <w:jc w:val="center"/>
    </w:pPr>
    <w:r>
      <w:fldChar w:fldCharType="begin"/>
    </w:r>
    <w:r w:rsidR="00E86186">
      <w:instrText xml:space="preserve"> PAGE   \* MERGEFORMAT </w:instrText>
    </w:r>
    <w:r>
      <w:fldChar w:fldCharType="separate"/>
    </w:r>
    <w:r w:rsidR="00E86186">
      <w:rPr>
        <w:noProof/>
      </w:rPr>
      <w:t>13</w:t>
    </w:r>
    <w:r>
      <w:rPr>
        <w:noProof/>
      </w:rPr>
      <w:fldChar w:fldCharType="end"/>
    </w:r>
  </w:p>
  <w:p w:rsidR="00195C5C" w:rsidRDefault="00E8618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7842" w:rsidRDefault="00B87842" w:rsidP="00B87842">
      <w:pPr>
        <w:spacing w:after="0" w:line="240" w:lineRule="auto"/>
      </w:pPr>
      <w:r>
        <w:separator/>
      </w:r>
    </w:p>
  </w:footnote>
  <w:footnote w:type="continuationSeparator" w:id="0">
    <w:p w:rsidR="00B87842" w:rsidRDefault="00B87842" w:rsidP="00B878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4EC739F"/>
    <w:multiLevelType w:val="singleLevel"/>
    <w:tmpl w:val="E9B68D5C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">
    <w:nsid w:val="08C34439"/>
    <w:multiLevelType w:val="multilevel"/>
    <w:tmpl w:val="DD36F6C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4035D0B"/>
    <w:multiLevelType w:val="singleLevel"/>
    <w:tmpl w:val="7E5026D8"/>
    <w:lvl w:ilvl="0">
      <w:start w:val="2"/>
      <w:numFmt w:val="bullet"/>
      <w:lvlText w:val="-"/>
      <w:lvlJc w:val="left"/>
      <w:pPr>
        <w:tabs>
          <w:tab w:val="num" w:pos="480"/>
        </w:tabs>
        <w:ind w:left="480" w:hanging="480"/>
      </w:pPr>
      <w:rPr>
        <w:rFonts w:hint="default"/>
      </w:rPr>
    </w:lvl>
  </w:abstractNum>
  <w:abstractNum w:abstractNumId="4">
    <w:nsid w:val="187D30AC"/>
    <w:multiLevelType w:val="hybridMultilevel"/>
    <w:tmpl w:val="029206A6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5">
    <w:nsid w:val="1C661AE5"/>
    <w:multiLevelType w:val="singleLevel"/>
    <w:tmpl w:val="13DEB410"/>
    <w:lvl w:ilvl="0">
      <w:start w:val="1"/>
      <w:numFmt w:val="decimal"/>
      <w:lvlText w:val="%1)"/>
      <w:lvlJc w:val="left"/>
      <w:pPr>
        <w:tabs>
          <w:tab w:val="num" w:pos="435"/>
        </w:tabs>
        <w:ind w:left="435" w:hanging="360"/>
      </w:pPr>
      <w:rPr>
        <w:rFonts w:hint="default"/>
      </w:rPr>
    </w:lvl>
  </w:abstractNum>
  <w:abstractNum w:abstractNumId="6">
    <w:nsid w:val="25E27F90"/>
    <w:multiLevelType w:val="multilevel"/>
    <w:tmpl w:val="FDD451AC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20"/>
        </w:tabs>
        <w:ind w:left="10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940"/>
        </w:tabs>
        <w:ind w:left="2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00"/>
        </w:tabs>
        <w:ind w:left="39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560"/>
        </w:tabs>
        <w:ind w:left="4560" w:hanging="2160"/>
      </w:pPr>
      <w:rPr>
        <w:rFonts w:hint="default"/>
      </w:rPr>
    </w:lvl>
  </w:abstractNum>
  <w:abstractNum w:abstractNumId="7">
    <w:nsid w:val="2A6068E3"/>
    <w:multiLevelType w:val="multilevel"/>
    <w:tmpl w:val="D9949A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8">
    <w:nsid w:val="2AEE2E42"/>
    <w:multiLevelType w:val="singleLevel"/>
    <w:tmpl w:val="A776ECB4"/>
    <w:lvl w:ilvl="0">
      <w:start w:val="1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hint="default"/>
      </w:rPr>
    </w:lvl>
  </w:abstractNum>
  <w:abstractNum w:abstractNumId="9">
    <w:nsid w:val="2C1A1DA4"/>
    <w:multiLevelType w:val="multilevel"/>
    <w:tmpl w:val="91A607FC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0">
    <w:nsid w:val="300A26FD"/>
    <w:multiLevelType w:val="singleLevel"/>
    <w:tmpl w:val="D11CB1A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39A953C7"/>
    <w:multiLevelType w:val="singleLevel"/>
    <w:tmpl w:val="644C1682"/>
    <w:lvl w:ilvl="0">
      <w:start w:val="2"/>
      <w:numFmt w:val="decimal"/>
      <w:lvlText w:val="1.%1. "/>
      <w:legacy w:legacy="1" w:legacySpace="0" w:legacyIndent="283"/>
      <w:lvlJc w:val="left"/>
      <w:pPr>
        <w:ind w:left="283" w:hanging="283"/>
      </w:pPr>
      <w:rPr>
        <w:sz w:val="28"/>
      </w:rPr>
    </w:lvl>
  </w:abstractNum>
  <w:abstractNum w:abstractNumId="12">
    <w:nsid w:val="49F90B3A"/>
    <w:multiLevelType w:val="singleLevel"/>
    <w:tmpl w:val="9D0C470C"/>
    <w:lvl w:ilvl="0">
      <w:start w:val="2"/>
      <w:numFmt w:val="bullet"/>
      <w:lvlText w:val="-"/>
      <w:lvlJc w:val="left"/>
      <w:pPr>
        <w:tabs>
          <w:tab w:val="num" w:pos="390"/>
        </w:tabs>
        <w:ind w:left="390" w:hanging="390"/>
      </w:pPr>
      <w:rPr>
        <w:rFonts w:hint="default"/>
      </w:rPr>
    </w:lvl>
  </w:abstractNum>
  <w:abstractNum w:abstractNumId="13">
    <w:nsid w:val="52D87A9F"/>
    <w:multiLevelType w:val="singleLevel"/>
    <w:tmpl w:val="0AF4B7AA"/>
    <w:lvl w:ilvl="0">
      <w:numFmt w:val="bullet"/>
      <w:lvlText w:val="-"/>
      <w:lvlJc w:val="left"/>
      <w:pPr>
        <w:tabs>
          <w:tab w:val="num" w:pos="1211"/>
        </w:tabs>
        <w:ind w:left="0" w:firstLine="851"/>
      </w:pPr>
    </w:lvl>
  </w:abstractNum>
  <w:abstractNum w:abstractNumId="14">
    <w:nsid w:val="6A9241A0"/>
    <w:multiLevelType w:val="singleLevel"/>
    <w:tmpl w:val="8D5C6532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6F0C68E1"/>
    <w:multiLevelType w:val="singleLevel"/>
    <w:tmpl w:val="98FC8CA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6">
    <w:nsid w:val="6F9870F0"/>
    <w:multiLevelType w:val="singleLevel"/>
    <w:tmpl w:val="E332AD9A"/>
    <w:lvl w:ilvl="0">
      <w:start w:val="1"/>
      <w:numFmt w:val="decimal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</w:abstractNum>
  <w:abstractNum w:abstractNumId="17">
    <w:nsid w:val="6FF71897"/>
    <w:multiLevelType w:val="singleLevel"/>
    <w:tmpl w:val="33665E52"/>
    <w:lvl w:ilvl="0"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hint="default"/>
      </w:rPr>
    </w:lvl>
  </w:abstractNum>
  <w:abstractNum w:abstractNumId="18">
    <w:nsid w:val="7D173126"/>
    <w:multiLevelType w:val="singleLevel"/>
    <w:tmpl w:val="608071B6"/>
    <w:lvl w:ilvl="0">
      <w:start w:val="3"/>
      <w:numFmt w:val="decimal"/>
      <w:lvlText w:val="2.%1. "/>
      <w:legacy w:legacy="1" w:legacySpace="0" w:legacyIndent="283"/>
      <w:lvlJc w:val="left"/>
      <w:pPr>
        <w:ind w:left="283" w:hanging="283"/>
      </w:pPr>
      <w:rPr>
        <w:sz w:val="28"/>
      </w:rPr>
    </w:lvl>
  </w:abstractNum>
  <w:abstractNum w:abstractNumId="19">
    <w:nsid w:val="7DD478D5"/>
    <w:multiLevelType w:val="hybridMultilevel"/>
    <w:tmpl w:val="9BA8FF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9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</w:num>
  <w:num w:numId="6">
    <w:abstractNumId w:val="18"/>
  </w:num>
  <w:num w:numId="7">
    <w:abstractNumId w:val="9"/>
  </w:num>
  <w:num w:numId="8">
    <w:abstractNumId w:val="15"/>
  </w:num>
  <w:num w:numId="9">
    <w:abstractNumId w:val="16"/>
  </w:num>
  <w:num w:numId="10">
    <w:abstractNumId w:val="6"/>
  </w:num>
  <w:num w:numId="11">
    <w:abstractNumId w:val="5"/>
  </w:num>
  <w:num w:numId="12">
    <w:abstractNumId w:val="10"/>
  </w:num>
  <w:num w:numId="13">
    <w:abstractNumId w:val="14"/>
  </w:num>
  <w:num w:numId="14">
    <w:abstractNumId w:val="12"/>
  </w:num>
  <w:num w:numId="15">
    <w:abstractNumId w:val="3"/>
  </w:num>
  <w:num w:numId="16">
    <w:abstractNumId w:val="8"/>
  </w:num>
  <w:num w:numId="17">
    <w:abstractNumId w:val="17"/>
  </w:num>
  <w:num w:numId="18">
    <w:abstractNumId w:val="0"/>
    <w:lvlOverride w:ilvl="0">
      <w:lvl w:ilvl="0">
        <w:start w:val="4"/>
        <w:numFmt w:val="bullet"/>
        <w:lvlText w:val="-"/>
        <w:legacy w:legacy="1" w:legacySpace="0" w:legacyIndent="360"/>
        <w:lvlJc w:val="left"/>
        <w:pPr>
          <w:ind w:left="360" w:hanging="360"/>
        </w:pPr>
      </w:lvl>
    </w:lvlOverride>
  </w:num>
  <w:num w:numId="19">
    <w:abstractNumId w:val="1"/>
  </w:num>
  <w:num w:numId="20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3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D2E78"/>
    <w:rsid w:val="001E5D37"/>
    <w:rsid w:val="00252841"/>
    <w:rsid w:val="002857DD"/>
    <w:rsid w:val="0046585F"/>
    <w:rsid w:val="005D2E78"/>
    <w:rsid w:val="0064513B"/>
    <w:rsid w:val="00B87842"/>
    <w:rsid w:val="00C37694"/>
    <w:rsid w:val="00DF5BA6"/>
    <w:rsid w:val="00E861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5BA6"/>
  </w:style>
  <w:style w:type="paragraph" w:styleId="1">
    <w:name w:val="heading 1"/>
    <w:basedOn w:val="a"/>
    <w:next w:val="a"/>
    <w:link w:val="10"/>
    <w:qFormat/>
    <w:rsid w:val="005D2E78"/>
    <w:pPr>
      <w:keepNext/>
      <w:autoSpaceDE w:val="0"/>
      <w:autoSpaceDN w:val="0"/>
      <w:adjustRightInd w:val="0"/>
      <w:spacing w:before="111" w:after="111" w:line="240" w:lineRule="auto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">
    <w:name w:val="heading 2"/>
    <w:basedOn w:val="a"/>
    <w:next w:val="a"/>
    <w:link w:val="20"/>
    <w:qFormat/>
    <w:rsid w:val="005D2E78"/>
    <w:pPr>
      <w:keepNext/>
      <w:widowControl w:val="0"/>
      <w:spacing w:before="240" w:after="60" w:line="240" w:lineRule="auto"/>
      <w:outlineLvl w:val="1"/>
    </w:pPr>
    <w:rPr>
      <w:rFonts w:ascii="Arial" w:eastAsia="Times New Roman" w:hAnsi="Arial" w:cs="Times New Roman"/>
      <w:b/>
      <w:i/>
      <w:sz w:val="24"/>
      <w:szCs w:val="20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5D2E78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5D2E78"/>
    <w:pPr>
      <w:keepNext/>
      <w:spacing w:after="0" w:line="240" w:lineRule="auto"/>
      <w:jc w:val="right"/>
      <w:outlineLvl w:val="3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D2E7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5D2E78"/>
    <w:rPr>
      <w:rFonts w:ascii="Arial" w:eastAsia="Times New Roman" w:hAnsi="Arial" w:cs="Times New Roman"/>
      <w:b/>
      <w:i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5D2E78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semiHidden/>
    <w:rsid w:val="005D2E7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Title"/>
    <w:basedOn w:val="a"/>
    <w:link w:val="11"/>
    <w:qFormat/>
    <w:rsid w:val="005D2E78"/>
    <w:pPr>
      <w:widowControl w:val="0"/>
      <w:shd w:val="clear" w:color="auto" w:fill="FFFFFF"/>
      <w:autoSpaceDE w:val="0"/>
      <w:autoSpaceDN w:val="0"/>
      <w:adjustRightInd w:val="0"/>
      <w:spacing w:after="0" w:line="360" w:lineRule="auto"/>
      <w:ind w:firstLine="720"/>
      <w:jc w:val="center"/>
    </w:pPr>
    <w:rPr>
      <w:rFonts w:ascii="Times New Roman" w:eastAsia="Times New Roman" w:hAnsi="Times New Roman" w:cs="Times New Roman"/>
      <w:color w:val="000000"/>
      <w:spacing w:val="-12"/>
      <w:sz w:val="28"/>
      <w:szCs w:val="28"/>
      <w:lang w:eastAsia="ru-RU"/>
    </w:rPr>
  </w:style>
  <w:style w:type="character" w:customStyle="1" w:styleId="a4">
    <w:name w:val="Название Знак"/>
    <w:basedOn w:val="a0"/>
    <w:link w:val="a3"/>
    <w:rsid w:val="005D2E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1">
    <w:name w:val="Название Знак1"/>
    <w:basedOn w:val="a0"/>
    <w:link w:val="a3"/>
    <w:locked/>
    <w:rsid w:val="005D2E78"/>
    <w:rPr>
      <w:rFonts w:ascii="Times New Roman" w:eastAsia="Times New Roman" w:hAnsi="Times New Roman" w:cs="Times New Roman"/>
      <w:color w:val="000000"/>
      <w:spacing w:val="-12"/>
      <w:sz w:val="28"/>
      <w:szCs w:val="28"/>
      <w:shd w:val="clear" w:color="auto" w:fill="FFFFFF"/>
      <w:lang w:eastAsia="ru-RU"/>
    </w:rPr>
  </w:style>
  <w:style w:type="paragraph" w:styleId="a5">
    <w:name w:val="Body Text"/>
    <w:basedOn w:val="a"/>
    <w:link w:val="a6"/>
    <w:unhideWhenUsed/>
    <w:rsid w:val="005D2E7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Знак"/>
    <w:basedOn w:val="a0"/>
    <w:link w:val="a5"/>
    <w:rsid w:val="005D2E7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unhideWhenUsed/>
    <w:rsid w:val="005D2E7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5D2E7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uiPriority w:val="99"/>
    <w:unhideWhenUsed/>
    <w:rsid w:val="005D2E78"/>
    <w:rPr>
      <w:color w:val="0000FF"/>
      <w:u w:val="single"/>
    </w:rPr>
  </w:style>
  <w:style w:type="paragraph" w:customStyle="1" w:styleId="dropcap">
    <w:name w:val="dropcap"/>
    <w:basedOn w:val="a"/>
    <w:rsid w:val="005D2E78"/>
    <w:pPr>
      <w:spacing w:before="150" w:after="22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">
    <w:name w:val="u"/>
    <w:basedOn w:val="a"/>
    <w:rsid w:val="005D2E78"/>
    <w:pPr>
      <w:spacing w:after="0" w:line="240" w:lineRule="auto"/>
      <w:ind w:firstLine="39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 Indent"/>
    <w:basedOn w:val="a"/>
    <w:link w:val="a9"/>
    <w:unhideWhenUsed/>
    <w:rsid w:val="005D2E78"/>
    <w:pPr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rsid w:val="005D2E7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1">
    <w:name w:val="Body Text Indent 3"/>
    <w:basedOn w:val="a"/>
    <w:link w:val="32"/>
    <w:semiHidden/>
    <w:unhideWhenUsed/>
    <w:rsid w:val="005D2E7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5D2E7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210">
    <w:name w:val="Основной текст с отступом 21"/>
    <w:basedOn w:val="a"/>
    <w:rsid w:val="005D2E78"/>
    <w:pPr>
      <w:overflowPunct w:val="0"/>
      <w:autoSpaceDE w:val="0"/>
      <w:autoSpaceDN w:val="0"/>
      <w:adjustRightInd w:val="0"/>
      <w:spacing w:after="0" w:line="256" w:lineRule="auto"/>
      <w:ind w:firstLine="60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5D2E7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Нижний колонтитул Знак"/>
    <w:basedOn w:val="a0"/>
    <w:link w:val="aa"/>
    <w:uiPriority w:val="99"/>
    <w:rsid w:val="005D2E78"/>
    <w:rPr>
      <w:rFonts w:ascii="Calibri" w:eastAsia="Calibri" w:hAnsi="Calibri" w:cs="Times New Roman"/>
    </w:rPr>
  </w:style>
  <w:style w:type="paragraph" w:styleId="ac">
    <w:name w:val="Balloon Text"/>
    <w:basedOn w:val="a"/>
    <w:link w:val="ad"/>
    <w:uiPriority w:val="99"/>
    <w:semiHidden/>
    <w:unhideWhenUsed/>
    <w:rsid w:val="005D2E7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5D2E78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List Paragraph"/>
    <w:basedOn w:val="a"/>
    <w:uiPriority w:val="34"/>
    <w:qFormat/>
    <w:rsid w:val="005D2E78"/>
    <w:pPr>
      <w:ind w:left="720"/>
      <w:contextualSpacing/>
    </w:pPr>
  </w:style>
  <w:style w:type="table" w:styleId="af">
    <w:name w:val="Table Grid"/>
    <w:basedOn w:val="a1"/>
    <w:rsid w:val="005D2E7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Strong"/>
    <w:uiPriority w:val="22"/>
    <w:qFormat/>
    <w:rsid w:val="005D2E78"/>
    <w:rPr>
      <w:b/>
      <w:bCs/>
    </w:rPr>
  </w:style>
  <w:style w:type="character" w:customStyle="1" w:styleId="ensp">
    <w:name w:val="ensp"/>
    <w:rsid w:val="005D2E78"/>
  </w:style>
  <w:style w:type="character" w:customStyle="1" w:styleId="laquo">
    <w:name w:val="laquo"/>
    <w:rsid w:val="005D2E78"/>
  </w:style>
  <w:style w:type="paragraph" w:styleId="af1">
    <w:name w:val="Block Text"/>
    <w:basedOn w:val="a"/>
    <w:uiPriority w:val="99"/>
    <w:unhideWhenUsed/>
    <w:rsid w:val="005D2E78"/>
    <w:pPr>
      <w:snapToGrid w:val="0"/>
      <w:spacing w:after="0" w:line="360" w:lineRule="auto"/>
      <w:ind w:left="567" w:right="88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с отступом 22"/>
    <w:basedOn w:val="a"/>
    <w:rsid w:val="005D2E78"/>
    <w:pPr>
      <w:suppressAutoHyphens/>
      <w:overflowPunct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3">
    <w:name w:val="Body Text 3"/>
    <w:basedOn w:val="a"/>
    <w:link w:val="34"/>
    <w:semiHidden/>
    <w:unhideWhenUsed/>
    <w:rsid w:val="005D2E7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0"/>
    <w:link w:val="33"/>
    <w:semiHidden/>
    <w:rsid w:val="005D2E7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2">
    <w:name w:val="Обычный абзац"/>
    <w:basedOn w:val="a5"/>
    <w:rsid w:val="005D2E78"/>
  </w:style>
  <w:style w:type="paragraph" w:styleId="af3">
    <w:name w:val="caption"/>
    <w:basedOn w:val="a"/>
    <w:next w:val="a"/>
    <w:qFormat/>
    <w:rsid w:val="005D2E78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4">
    <w:name w:val="Обычный абзац Знак Знак"/>
    <w:basedOn w:val="a5"/>
    <w:link w:val="af5"/>
    <w:rsid w:val="005D2E78"/>
    <w:pPr>
      <w:spacing w:after="0"/>
      <w:ind w:firstLine="709"/>
      <w:jc w:val="both"/>
    </w:pPr>
    <w:rPr>
      <w:sz w:val="28"/>
    </w:rPr>
  </w:style>
  <w:style w:type="character" w:customStyle="1" w:styleId="af5">
    <w:name w:val="Обычный абзац Знак Знак Знак"/>
    <w:basedOn w:val="a0"/>
    <w:link w:val="af4"/>
    <w:rsid w:val="005D2E7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6">
    <w:name w:val="Обычный абзац Знак"/>
    <w:basedOn w:val="a5"/>
    <w:rsid w:val="005D2E78"/>
    <w:pPr>
      <w:spacing w:after="0"/>
      <w:ind w:firstLine="709"/>
      <w:jc w:val="both"/>
    </w:pPr>
    <w:rPr>
      <w:sz w:val="28"/>
    </w:rPr>
  </w:style>
  <w:style w:type="character" w:customStyle="1" w:styleId="CenturySchoolbook">
    <w:name w:val="Основной текст + Century Schoolbook"/>
    <w:aliases w:val="Интервал 0 pt"/>
    <w:uiPriority w:val="99"/>
    <w:rsid w:val="005D2E78"/>
    <w:rPr>
      <w:rFonts w:ascii="Century Schoolbook" w:hAnsi="Century Schoolbook" w:cs="Century Schoolbook"/>
      <w:spacing w:val="0"/>
      <w:sz w:val="17"/>
      <w:szCs w:val="17"/>
    </w:rPr>
  </w:style>
  <w:style w:type="character" w:customStyle="1" w:styleId="CenturySchoolbook12">
    <w:name w:val="Основной текст + Century Schoolbook12"/>
    <w:aliases w:val="Интервал 0 pt12"/>
    <w:uiPriority w:val="99"/>
    <w:rsid w:val="005D2E78"/>
    <w:rPr>
      <w:rFonts w:ascii="Century Schoolbook" w:hAnsi="Century Schoolbook" w:cs="Century Schoolbook"/>
      <w:spacing w:val="10"/>
      <w:sz w:val="17"/>
      <w:szCs w:val="17"/>
    </w:rPr>
  </w:style>
  <w:style w:type="character" w:customStyle="1" w:styleId="2CenturySchoolbook">
    <w:name w:val="Основной текст (2) + Century Schoolbook"/>
    <w:aliases w:val="Не полужирный"/>
    <w:uiPriority w:val="99"/>
    <w:rsid w:val="005D2E78"/>
    <w:rPr>
      <w:rFonts w:ascii="Century Schoolbook" w:hAnsi="Century Schoolbook" w:cs="Century Schoolbook"/>
      <w:b/>
      <w:bCs/>
      <w:spacing w:val="10"/>
      <w:sz w:val="17"/>
      <w:szCs w:val="17"/>
    </w:rPr>
  </w:style>
  <w:style w:type="character" w:customStyle="1" w:styleId="2CenturySchoolbook1">
    <w:name w:val="Основной текст (2) + Century Schoolbook1"/>
    <w:aliases w:val="Не полужирный1,Интервал 0 pt10"/>
    <w:uiPriority w:val="99"/>
    <w:rsid w:val="005D2E78"/>
    <w:rPr>
      <w:rFonts w:ascii="Century Schoolbook" w:hAnsi="Century Schoolbook" w:cs="Century Schoolbook"/>
      <w:b/>
      <w:bCs/>
      <w:spacing w:val="0"/>
      <w:sz w:val="17"/>
      <w:szCs w:val="17"/>
    </w:rPr>
  </w:style>
  <w:style w:type="paragraph" w:styleId="af7">
    <w:name w:val="Normal (Web)"/>
    <w:basedOn w:val="a"/>
    <w:rsid w:val="005D2E78"/>
    <w:pPr>
      <w:spacing w:before="105" w:after="75" w:line="240" w:lineRule="auto"/>
      <w:ind w:left="75" w:right="75"/>
      <w:jc w:val="both"/>
    </w:pPr>
    <w:rPr>
      <w:rFonts w:ascii="Verdana" w:eastAsia="Times New Roman" w:hAnsi="Verdana" w:cs="Times New Roman"/>
      <w:color w:val="333399"/>
      <w:sz w:val="17"/>
      <w:szCs w:val="17"/>
      <w:lang w:eastAsia="ru-RU"/>
    </w:rPr>
  </w:style>
  <w:style w:type="paragraph" w:styleId="af8">
    <w:name w:val="List"/>
    <w:basedOn w:val="a"/>
    <w:semiHidden/>
    <w:rsid w:val="005D2E78"/>
    <w:pPr>
      <w:widowControl w:val="0"/>
      <w:spacing w:after="0"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List 2"/>
    <w:basedOn w:val="a"/>
    <w:semiHidden/>
    <w:rsid w:val="005D2E78"/>
    <w:pPr>
      <w:widowControl w:val="0"/>
      <w:spacing w:after="0" w:line="240" w:lineRule="auto"/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0">
    <w:name w:val="Основной текст 31"/>
    <w:basedOn w:val="a"/>
    <w:rsid w:val="005D2E78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9">
    <w:name w:val="Plain Text"/>
    <w:basedOn w:val="a"/>
    <w:link w:val="afa"/>
    <w:rsid w:val="005D2E78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a">
    <w:name w:val="Текст Знак"/>
    <w:basedOn w:val="a0"/>
    <w:link w:val="af9"/>
    <w:rsid w:val="005D2E78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b">
    <w:name w:val="Подпись к картинке_"/>
    <w:link w:val="afc"/>
    <w:uiPriority w:val="99"/>
    <w:rsid w:val="005D2E78"/>
    <w:rPr>
      <w:rFonts w:ascii="Times New Roman" w:hAnsi="Times New Roman"/>
      <w:sz w:val="19"/>
      <w:szCs w:val="19"/>
      <w:shd w:val="clear" w:color="auto" w:fill="FFFFFF"/>
    </w:rPr>
  </w:style>
  <w:style w:type="paragraph" w:customStyle="1" w:styleId="afc">
    <w:name w:val="Подпись к картинке"/>
    <w:basedOn w:val="a"/>
    <w:link w:val="afb"/>
    <w:uiPriority w:val="99"/>
    <w:rsid w:val="005D2E78"/>
    <w:pPr>
      <w:shd w:val="clear" w:color="auto" w:fill="FFFFFF"/>
      <w:spacing w:after="0" w:line="206" w:lineRule="exact"/>
      <w:ind w:hanging="580"/>
      <w:jc w:val="both"/>
    </w:pPr>
    <w:rPr>
      <w:rFonts w:ascii="Times New Roman" w:hAnsi="Times New Roman"/>
      <w:sz w:val="19"/>
      <w:szCs w:val="19"/>
    </w:rPr>
  </w:style>
  <w:style w:type="paragraph" w:styleId="24">
    <w:name w:val="Body Text Indent 2"/>
    <w:basedOn w:val="a"/>
    <w:link w:val="25"/>
    <w:uiPriority w:val="99"/>
    <w:semiHidden/>
    <w:unhideWhenUsed/>
    <w:rsid w:val="005D2E78"/>
    <w:pPr>
      <w:spacing w:after="120" w:line="480" w:lineRule="auto"/>
      <w:ind w:left="283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5D2E7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211">
    <w:name w:val="Основной текст 21"/>
    <w:basedOn w:val="a"/>
    <w:rsid w:val="005D2E78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customStyle="1" w:styleId="221">
    <w:name w:val="Основной текст 22"/>
    <w:basedOn w:val="a"/>
    <w:rsid w:val="005D2E78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d">
    <w:name w:val="header"/>
    <w:basedOn w:val="a"/>
    <w:link w:val="afe"/>
    <w:uiPriority w:val="99"/>
    <w:unhideWhenUsed/>
    <w:rsid w:val="005D2E7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e">
    <w:name w:val="Верхний колонтитул Знак"/>
    <w:basedOn w:val="a0"/>
    <w:link w:val="afd"/>
    <w:uiPriority w:val="99"/>
    <w:rsid w:val="005D2E7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f">
    <w:name w:val="Placeholder Text"/>
    <w:basedOn w:val="a0"/>
    <w:uiPriority w:val="99"/>
    <w:semiHidden/>
    <w:rsid w:val="005D2E78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3248</Words>
  <Characters>18520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Алексей</cp:lastModifiedBy>
  <cp:revision>2</cp:revision>
  <dcterms:created xsi:type="dcterms:W3CDTF">2016-10-23T07:37:00Z</dcterms:created>
  <dcterms:modified xsi:type="dcterms:W3CDTF">2016-10-23T07:37:00Z</dcterms:modified>
</cp:coreProperties>
</file>